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6"/>
          <w:szCs w:val="36"/>
          <w:u w:val="single"/>
          <w:lang w:val="en-US"/>
        </w:rPr>
      </w:pPr>
      <w:r>
        <w:rPr>
          <w:b/>
          <w:sz w:val="36"/>
          <w:szCs w:val="36"/>
          <w:u w:val="single"/>
          <w:lang w:val="en-US"/>
        </w:rPr>
        <w:t>BIMplement WP 4</w:t>
      </w:r>
    </w:p>
    <w:p>
      <w:pPr>
        <w:pStyle w:val="Normal"/>
        <w:jc w:val="center"/>
        <w:rPr>
          <w:b/>
          <w:b/>
          <w:sz w:val="36"/>
          <w:szCs w:val="36"/>
          <w:lang w:val="en-US"/>
        </w:rPr>
      </w:pPr>
      <w:r>
        <w:rPr>
          <w:b/>
          <w:sz w:val="36"/>
          <w:szCs w:val="36"/>
          <w:lang w:val="en-US"/>
        </w:rPr>
        <w:t>BIM awareness campaign</w:t>
      </w:r>
    </w:p>
    <w:p>
      <w:pPr>
        <w:pStyle w:val="Normal"/>
        <w:jc w:val="center"/>
        <w:rPr>
          <w:b/>
          <w:b/>
          <w:sz w:val="36"/>
          <w:szCs w:val="36"/>
          <w:lang w:val="en-US"/>
        </w:rPr>
      </w:pPr>
      <w:r>
        <w:rPr>
          <w:b/>
          <w:sz w:val="36"/>
          <w:szCs w:val="36"/>
          <w:lang w:val="en-US"/>
        </w:rPr>
        <w:t>Objectives ; messages ; target groups ; methodology ; tools</w:t>
      </w:r>
    </w:p>
    <w:p>
      <w:pPr>
        <w:pStyle w:val="Normal"/>
        <w:jc w:val="both"/>
        <w:rPr>
          <w:b/>
          <w:b/>
          <w:sz w:val="36"/>
          <w:szCs w:val="36"/>
          <w:lang w:val="en-US"/>
        </w:rPr>
      </w:pPr>
      <w:bookmarkStart w:id="0" w:name="_GoBack"/>
      <w:bookmarkStart w:id="1" w:name="_GoBack"/>
      <w:bookmarkEnd w:id="1"/>
      <w:r>
        <w:rPr>
          <w:b/>
          <w:sz w:val="36"/>
          <w:szCs w:val="36"/>
          <w:lang w:val="en-US"/>
        </w:rPr>
      </w:r>
    </w:p>
    <w:p>
      <w:pPr>
        <w:pStyle w:val="NoSpacing"/>
        <w:jc w:val="both"/>
        <w:rPr>
          <w:b/>
          <w:b/>
          <w:sz w:val="28"/>
          <w:szCs w:val="28"/>
        </w:rPr>
      </w:pPr>
      <w:r>
        <w:rPr>
          <w:b/>
          <w:sz w:val="28"/>
          <w:szCs w:val="28"/>
        </w:rPr>
        <w:t>Three objectives</w:t>
      </w:r>
    </w:p>
    <w:p>
      <w:pPr>
        <w:pStyle w:val="NoSpacing"/>
        <w:numPr>
          <w:ilvl w:val="0"/>
          <w:numId w:val="1"/>
        </w:numPr>
        <w:jc w:val="both"/>
        <w:rPr>
          <w:sz w:val="24"/>
          <w:szCs w:val="24"/>
          <w:lang w:val="en-US"/>
        </w:rPr>
      </w:pPr>
      <w:r>
        <w:rPr>
          <w:sz w:val="24"/>
          <w:szCs w:val="24"/>
          <w:lang w:val="en-US"/>
        </w:rPr>
        <w:t>Convince all the stakeholders of the building value chain (public and private contractors, architects, enterprises ..) that BIM brings added values</w:t>
      </w:r>
    </w:p>
    <w:p>
      <w:pPr>
        <w:pStyle w:val="NoSpacing"/>
        <w:numPr>
          <w:ilvl w:val="0"/>
          <w:numId w:val="1"/>
        </w:numPr>
        <w:jc w:val="both"/>
        <w:rPr>
          <w:sz w:val="24"/>
          <w:szCs w:val="24"/>
        </w:rPr>
      </w:pPr>
      <w:r>
        <w:rPr>
          <w:sz w:val="24"/>
          <w:szCs w:val="24"/>
        </w:rPr>
        <w:t>Present BIMplement</w:t>
      </w:r>
    </w:p>
    <w:p>
      <w:pPr>
        <w:pStyle w:val="NoSpacing"/>
        <w:numPr>
          <w:ilvl w:val="0"/>
          <w:numId w:val="1"/>
        </w:numPr>
        <w:jc w:val="both"/>
        <w:rPr>
          <w:sz w:val="24"/>
          <w:szCs w:val="24"/>
          <w:lang w:val="en-US"/>
        </w:rPr>
      </w:pPr>
      <w:r>
        <w:rPr>
          <w:sz w:val="24"/>
          <w:szCs w:val="24"/>
          <w:lang w:val="en-US"/>
        </w:rPr>
        <w:t>Identify potential « pilot filed labs » and « experimental sites ».</w:t>
      </w:r>
    </w:p>
    <w:p>
      <w:pPr>
        <w:pStyle w:val="NoSpacing"/>
        <w:ind w:left="720" w:hanging="0"/>
        <w:jc w:val="both"/>
        <w:rPr>
          <w:sz w:val="28"/>
          <w:szCs w:val="28"/>
          <w:lang w:val="en-US"/>
        </w:rPr>
      </w:pPr>
      <w:r>
        <w:rPr>
          <w:sz w:val="28"/>
          <w:szCs w:val="28"/>
          <w:lang w:val="en-US"/>
        </w:rPr>
      </w:r>
    </w:p>
    <w:p>
      <w:pPr>
        <w:pStyle w:val="NoSpacing"/>
        <w:jc w:val="both"/>
        <w:rPr>
          <w:b/>
          <w:b/>
          <w:sz w:val="28"/>
          <w:szCs w:val="28"/>
        </w:rPr>
      </w:pPr>
      <w:r>
        <w:rPr>
          <w:b/>
          <w:sz w:val="28"/>
          <w:szCs w:val="28"/>
        </w:rPr>
        <w:t>Messages</w:t>
      </w:r>
    </w:p>
    <w:p>
      <w:pPr>
        <w:pStyle w:val="NoSpacing"/>
        <w:numPr>
          <w:ilvl w:val="0"/>
          <w:numId w:val="2"/>
        </w:numPr>
        <w:jc w:val="both"/>
        <w:rPr>
          <w:sz w:val="24"/>
          <w:szCs w:val="24"/>
          <w:lang w:val="en-US"/>
        </w:rPr>
      </w:pPr>
      <w:r>
        <w:rPr>
          <w:sz w:val="24"/>
          <w:szCs w:val="24"/>
          <w:lang w:val="en-US"/>
        </w:rPr>
        <w:t>The quality requirements for both new constructions and renovations of buildings are increasing, toward NZEB. This trend is due to the fact that the impact of the buildings on the environnement is more and more taken into account, especially to fight against climate change.</w:t>
      </w:r>
    </w:p>
    <w:p>
      <w:pPr>
        <w:pStyle w:val="NoSpacing"/>
        <w:numPr>
          <w:ilvl w:val="0"/>
          <w:numId w:val="2"/>
        </w:numPr>
        <w:jc w:val="both"/>
        <w:rPr>
          <w:sz w:val="24"/>
          <w:szCs w:val="24"/>
          <w:lang w:val="en-US"/>
        </w:rPr>
      </w:pPr>
      <w:r>
        <w:rPr>
          <w:sz w:val="24"/>
          <w:szCs w:val="24"/>
          <w:lang w:val="en-US"/>
        </w:rPr>
        <w:t>The building owners and users are more and more conscious of the importance of an optimised management of their assets. The numerical mock-up and BIM will help them to do it.</w:t>
      </w:r>
    </w:p>
    <w:p>
      <w:pPr>
        <w:pStyle w:val="NoSpacing"/>
        <w:numPr>
          <w:ilvl w:val="0"/>
          <w:numId w:val="2"/>
        </w:numPr>
        <w:jc w:val="both"/>
        <w:rPr>
          <w:sz w:val="24"/>
          <w:szCs w:val="24"/>
          <w:lang w:val="en-US"/>
        </w:rPr>
      </w:pPr>
      <w:r>
        <w:rPr>
          <w:sz w:val="24"/>
          <w:szCs w:val="24"/>
          <w:lang w:val="en-US"/>
        </w:rPr>
        <w:t>A cross-hand and cross level approach is a key to quality.</w:t>
      </w:r>
    </w:p>
    <w:p>
      <w:pPr>
        <w:pStyle w:val="NoSpacing"/>
        <w:numPr>
          <w:ilvl w:val="0"/>
          <w:numId w:val="2"/>
        </w:numPr>
        <w:jc w:val="both"/>
        <w:rPr>
          <w:sz w:val="24"/>
          <w:szCs w:val="24"/>
          <w:lang w:val="en-US"/>
        </w:rPr>
      </w:pPr>
      <w:r>
        <w:rPr>
          <w:sz w:val="24"/>
          <w:szCs w:val="24"/>
          <w:lang w:val="en-US"/>
        </w:rPr>
        <w:t>The use of BIM all along the value chain  will both</w:t>
      </w:r>
    </w:p>
    <w:p>
      <w:pPr>
        <w:pStyle w:val="NoSpacing"/>
        <w:numPr>
          <w:ilvl w:val="0"/>
          <w:numId w:val="3"/>
        </w:numPr>
        <w:jc w:val="both"/>
        <w:rPr>
          <w:sz w:val="24"/>
          <w:szCs w:val="24"/>
          <w:lang w:val="en-US"/>
        </w:rPr>
      </w:pPr>
      <w:r>
        <w:rPr>
          <w:sz w:val="24"/>
          <w:szCs w:val="24"/>
          <w:lang w:val="en-US"/>
        </w:rPr>
        <w:t>improve the management of the works</w:t>
      </w:r>
    </w:p>
    <w:p>
      <w:pPr>
        <w:pStyle w:val="NoSpacing"/>
        <w:numPr>
          <w:ilvl w:val="0"/>
          <w:numId w:val="3"/>
        </w:numPr>
        <w:jc w:val="both"/>
        <w:rPr>
          <w:sz w:val="24"/>
          <w:szCs w:val="24"/>
          <w:lang w:val="en-US"/>
        </w:rPr>
      </w:pPr>
      <w:r>
        <w:rPr>
          <w:sz w:val="24"/>
          <w:szCs w:val="24"/>
          <w:lang w:val="en-US"/>
        </w:rPr>
        <w:t xml:space="preserve"> </w:t>
      </w:r>
      <w:r>
        <w:rPr>
          <w:sz w:val="24"/>
          <w:szCs w:val="24"/>
          <w:lang w:val="en-US"/>
        </w:rPr>
        <w:t>and contribute to build up the skills of the professionals, especially in the field of « co-working/crosscraft »  in the areas of the building  where the question of airtighness is critical.</w:t>
      </w:r>
    </w:p>
    <w:p>
      <w:pPr>
        <w:pStyle w:val="NoSpacing"/>
        <w:numPr>
          <w:ilvl w:val="0"/>
          <w:numId w:val="4"/>
        </w:numPr>
        <w:jc w:val="both"/>
        <w:rPr>
          <w:sz w:val="24"/>
          <w:szCs w:val="24"/>
          <w:lang w:val="en-US"/>
        </w:rPr>
      </w:pPr>
      <w:r>
        <w:rPr>
          <w:sz w:val="24"/>
          <w:szCs w:val="24"/>
          <w:lang w:val="en-US"/>
        </w:rPr>
        <w:t>BIMplement will create and test tools and methodologies to improve the skills of the professionals (blue and white collars)</w:t>
      </w:r>
    </w:p>
    <w:p>
      <w:pPr>
        <w:pStyle w:val="NoSpacing"/>
        <w:numPr>
          <w:ilvl w:val="0"/>
          <w:numId w:val="4"/>
        </w:numPr>
        <w:jc w:val="both"/>
        <w:rPr>
          <w:sz w:val="24"/>
          <w:szCs w:val="24"/>
          <w:lang w:val="en-US"/>
        </w:rPr>
      </w:pPr>
      <w:r>
        <w:rPr>
          <w:sz w:val="24"/>
          <w:szCs w:val="24"/>
          <w:lang w:val="en-US"/>
        </w:rPr>
        <w:t>There is a need for workplaces where BIMplement will be tested.</w:t>
      </w:r>
    </w:p>
    <w:p>
      <w:pPr>
        <w:pStyle w:val="NoSpacing"/>
        <w:numPr>
          <w:ilvl w:val="0"/>
          <w:numId w:val="4"/>
        </w:numPr>
        <w:jc w:val="both"/>
        <w:rPr>
          <w:sz w:val="24"/>
          <w:szCs w:val="24"/>
          <w:lang w:val="en-US"/>
        </w:rPr>
      </w:pPr>
      <w:r>
        <w:rPr>
          <w:sz w:val="24"/>
          <w:szCs w:val="24"/>
          <w:lang w:val="en-US"/>
        </w:rPr>
        <w:t>Highly qualified trainers will come to these workplaces to train the professionals involved.</w:t>
      </w:r>
    </w:p>
    <w:p>
      <w:pPr>
        <w:pStyle w:val="NoSpacing"/>
        <w:numPr>
          <w:ilvl w:val="0"/>
          <w:numId w:val="4"/>
        </w:numPr>
        <w:jc w:val="both"/>
        <w:rPr>
          <w:sz w:val="24"/>
          <w:szCs w:val="24"/>
          <w:lang w:val="en-US"/>
        </w:rPr>
      </w:pPr>
      <w:r>
        <w:rPr>
          <w:sz w:val="24"/>
          <w:szCs w:val="24"/>
          <w:lang w:val="en-US"/>
        </w:rPr>
        <w:t>A local « BIMplement local project leaders » with a « BIMplement coach » will be in charge to organise and follow the local tests.</w:t>
      </w:r>
    </w:p>
    <w:p>
      <w:pPr>
        <w:pStyle w:val="NoSpacing"/>
        <w:ind w:left="720" w:hanging="0"/>
        <w:jc w:val="both"/>
        <w:rPr>
          <w:sz w:val="24"/>
          <w:szCs w:val="24"/>
          <w:lang w:val="en-US"/>
        </w:rPr>
      </w:pPr>
      <w:r>
        <w:rPr>
          <w:sz w:val="24"/>
          <w:szCs w:val="24"/>
          <w:lang w:val="en-US"/>
        </w:rPr>
      </w:r>
    </w:p>
    <w:p>
      <w:pPr>
        <w:pStyle w:val="NoSpacing"/>
        <w:jc w:val="both"/>
        <w:rPr>
          <w:b/>
          <w:b/>
          <w:sz w:val="28"/>
          <w:szCs w:val="28"/>
        </w:rPr>
      </w:pPr>
      <w:r>
        <w:rPr>
          <w:b/>
          <w:sz w:val="28"/>
          <w:szCs w:val="28"/>
        </w:rPr>
        <w:t>Two target groups</w:t>
      </w:r>
    </w:p>
    <w:p>
      <w:pPr>
        <w:pStyle w:val="NoSpacing"/>
        <w:numPr>
          <w:ilvl w:val="0"/>
          <w:numId w:val="5"/>
        </w:numPr>
        <w:jc w:val="both"/>
        <w:rPr>
          <w:sz w:val="24"/>
          <w:szCs w:val="24"/>
          <w:lang w:val="en-US"/>
        </w:rPr>
      </w:pPr>
      <w:r>
        <w:rPr>
          <w:sz w:val="24"/>
          <w:szCs w:val="24"/>
          <w:lang w:val="en-US"/>
        </w:rPr>
        <w:t>The local public contractors, with two purposes :</w:t>
      </w:r>
    </w:p>
    <w:p>
      <w:pPr>
        <w:pStyle w:val="NoSpacing"/>
        <w:numPr>
          <w:ilvl w:val="0"/>
          <w:numId w:val="6"/>
        </w:numPr>
        <w:jc w:val="both"/>
        <w:rPr>
          <w:sz w:val="24"/>
          <w:szCs w:val="24"/>
          <w:lang w:val="en-US"/>
        </w:rPr>
      </w:pPr>
      <w:r>
        <w:rPr>
          <w:sz w:val="24"/>
          <w:szCs w:val="24"/>
          <w:lang w:val="en-US"/>
        </w:rPr>
        <w:t>Raise their awareness about (a) the necessity to include in their call for tenders the requirements and the costs for qulity, and (b) the BIM process.</w:t>
      </w:r>
    </w:p>
    <w:p>
      <w:pPr>
        <w:pStyle w:val="NoSpacing"/>
        <w:numPr>
          <w:ilvl w:val="0"/>
          <w:numId w:val="6"/>
        </w:numPr>
        <w:jc w:val="both"/>
        <w:rPr>
          <w:sz w:val="24"/>
          <w:szCs w:val="24"/>
          <w:lang w:val="en-US"/>
        </w:rPr>
      </w:pPr>
      <w:r>
        <w:rPr>
          <w:sz w:val="24"/>
          <w:szCs w:val="24"/>
          <w:lang w:val="en-US"/>
        </w:rPr>
        <w:t>Identify potential workplaces to test BIMplement</w:t>
      </w:r>
    </w:p>
    <w:p>
      <w:pPr>
        <w:pStyle w:val="NoSpacing"/>
        <w:numPr>
          <w:ilvl w:val="0"/>
          <w:numId w:val="5"/>
        </w:numPr>
        <w:jc w:val="both"/>
        <w:rPr>
          <w:sz w:val="24"/>
          <w:szCs w:val="24"/>
          <w:lang w:val="en-US"/>
        </w:rPr>
      </w:pPr>
      <w:r>
        <w:rPr>
          <w:sz w:val="24"/>
          <w:szCs w:val="24"/>
          <w:lang w:val="en-US"/>
        </w:rPr>
        <w:t>Craftsmen and SME’s with the purpose of convincing them to build up their skills.</w:t>
      </w:r>
    </w:p>
    <w:p>
      <w:pPr>
        <w:pStyle w:val="NoSpacing"/>
        <w:ind w:left="720" w:hanging="0"/>
        <w:jc w:val="both"/>
        <w:rPr>
          <w:sz w:val="24"/>
          <w:szCs w:val="24"/>
          <w:lang w:val="en-US"/>
        </w:rPr>
      </w:pPr>
      <w:r>
        <w:rPr>
          <w:sz w:val="24"/>
          <w:szCs w:val="24"/>
          <w:lang w:val="en-US"/>
        </w:rPr>
      </w:r>
    </w:p>
    <w:p>
      <w:pPr>
        <w:pStyle w:val="NoSpacing"/>
        <w:ind w:left="720" w:hanging="0"/>
        <w:jc w:val="both"/>
        <w:rPr>
          <w:sz w:val="24"/>
          <w:szCs w:val="24"/>
          <w:lang w:val="en-US"/>
        </w:rPr>
      </w:pPr>
      <w:r>
        <w:rPr>
          <w:sz w:val="24"/>
          <w:szCs w:val="24"/>
          <w:lang w:val="en-US"/>
        </w:rPr>
      </w:r>
    </w:p>
    <w:p>
      <w:pPr>
        <w:pStyle w:val="NoSpacing"/>
        <w:ind w:left="720" w:hanging="0"/>
        <w:jc w:val="both"/>
        <w:rPr>
          <w:sz w:val="24"/>
          <w:szCs w:val="24"/>
          <w:lang w:val="en-US"/>
        </w:rPr>
      </w:pPr>
      <w:r>
        <w:rPr>
          <w:sz w:val="24"/>
          <w:szCs w:val="24"/>
          <w:lang w:val="en-US"/>
        </w:rPr>
      </w:r>
    </w:p>
    <w:p>
      <w:pPr>
        <w:pStyle w:val="NoSpacing"/>
        <w:jc w:val="both"/>
        <w:rPr>
          <w:b/>
          <w:b/>
          <w:sz w:val="28"/>
          <w:szCs w:val="28"/>
          <w:lang w:val="en-US"/>
        </w:rPr>
      </w:pPr>
      <w:r>
        <w:rPr>
          <w:b/>
          <w:sz w:val="28"/>
          <w:szCs w:val="28"/>
          <w:lang w:val="en-US"/>
        </w:rPr>
        <w:t>Methodology : example of what is being done in France</w:t>
      </w:r>
    </w:p>
    <w:p>
      <w:pPr>
        <w:pStyle w:val="NoSpacing"/>
        <w:jc w:val="both"/>
        <w:rPr>
          <w:sz w:val="24"/>
          <w:szCs w:val="24"/>
          <w:u w:val="single"/>
          <w:lang w:val="en-US"/>
        </w:rPr>
      </w:pPr>
      <w:r>
        <w:rPr>
          <w:sz w:val="24"/>
          <w:szCs w:val="24"/>
          <w:u w:val="single"/>
          <w:lang w:val="en-US"/>
        </w:rPr>
        <w:t>Phase 1</w:t>
      </w:r>
    </w:p>
    <w:p>
      <w:pPr>
        <w:pStyle w:val="NoSpacing"/>
        <w:numPr>
          <w:ilvl w:val="0"/>
          <w:numId w:val="7"/>
        </w:numPr>
        <w:jc w:val="both"/>
        <w:rPr>
          <w:sz w:val="24"/>
          <w:szCs w:val="24"/>
          <w:lang w:val="en-US"/>
        </w:rPr>
      </w:pPr>
      <w:r>
        <w:rPr>
          <w:sz w:val="24"/>
          <w:szCs w:val="24"/>
          <w:lang w:val="en-US"/>
        </w:rPr>
        <w:t>A mail signed by the chairman and/or the managing director is sent to all the local public contractors and to the major private contractors.</w:t>
      </w:r>
    </w:p>
    <w:p>
      <w:pPr>
        <w:pStyle w:val="NoSpacing"/>
        <w:ind w:left="720" w:hanging="0"/>
        <w:jc w:val="both"/>
        <w:rPr>
          <w:sz w:val="24"/>
          <w:szCs w:val="24"/>
        </w:rPr>
      </w:pPr>
      <w:r>
        <w:rPr>
          <w:sz w:val="24"/>
          <w:szCs w:val="24"/>
        </w:rPr>
        <w:t>In this mail there is</w:t>
      </w:r>
    </w:p>
    <w:p>
      <w:pPr>
        <w:pStyle w:val="NoSpacing"/>
        <w:numPr>
          <w:ilvl w:val="0"/>
          <w:numId w:val="6"/>
        </w:numPr>
        <w:jc w:val="both"/>
        <w:rPr>
          <w:sz w:val="24"/>
          <w:szCs w:val="24"/>
        </w:rPr>
      </w:pPr>
      <w:r>
        <w:rPr>
          <w:sz w:val="24"/>
          <w:szCs w:val="24"/>
        </w:rPr>
        <w:t>A  summary presentation of BIMplement</w:t>
      </w:r>
    </w:p>
    <w:p>
      <w:pPr>
        <w:pStyle w:val="NoSpacing"/>
        <w:numPr>
          <w:ilvl w:val="0"/>
          <w:numId w:val="6"/>
        </w:numPr>
        <w:jc w:val="both"/>
        <w:rPr>
          <w:sz w:val="24"/>
          <w:szCs w:val="24"/>
          <w:lang w:val="en-US"/>
        </w:rPr>
      </w:pPr>
      <w:r>
        <w:rPr>
          <w:sz w:val="24"/>
          <w:szCs w:val="24"/>
          <w:lang w:val="en-US"/>
        </w:rPr>
        <w:t>An invitation to contact the local « BIMcoach »</w:t>
      </w:r>
    </w:p>
    <w:p>
      <w:pPr>
        <w:pStyle w:val="NoSpacing"/>
        <w:numPr>
          <w:ilvl w:val="0"/>
          <w:numId w:val="7"/>
        </w:numPr>
        <w:jc w:val="both"/>
        <w:rPr>
          <w:sz w:val="24"/>
          <w:szCs w:val="24"/>
          <w:lang w:val="en-US"/>
        </w:rPr>
      </w:pPr>
      <w:r>
        <w:rPr>
          <w:sz w:val="24"/>
          <w:szCs w:val="24"/>
          <w:lang w:val="en-US"/>
        </w:rPr>
        <w:t>Short presentations (15 minutes) of BIMplement are made during meetings of decision makers (such as local politicians and their staffs)</w:t>
      </w:r>
    </w:p>
    <w:p>
      <w:pPr>
        <w:pStyle w:val="NoSpacing"/>
        <w:jc w:val="both"/>
        <w:rPr>
          <w:sz w:val="24"/>
          <w:szCs w:val="24"/>
          <w:u w:val="single"/>
        </w:rPr>
      </w:pPr>
      <w:r>
        <w:rPr>
          <w:sz w:val="24"/>
          <w:szCs w:val="24"/>
          <w:u w:val="single"/>
        </w:rPr>
        <w:t>Phase 2</w:t>
      </w:r>
    </w:p>
    <w:p>
      <w:pPr>
        <w:pStyle w:val="NoSpacing"/>
        <w:numPr>
          <w:ilvl w:val="0"/>
          <w:numId w:val="7"/>
        </w:numPr>
        <w:jc w:val="both"/>
        <w:rPr>
          <w:sz w:val="24"/>
          <w:szCs w:val="24"/>
          <w:lang w:val="en-US"/>
        </w:rPr>
      </w:pPr>
      <w:r>
        <w:rPr>
          <w:sz w:val="24"/>
          <w:szCs w:val="24"/>
          <w:lang w:val="en-US"/>
        </w:rPr>
        <w:t>The BIMcoach meet each person that has expressed interest during phase 1, with the purpose of finding potential worplaces to test BIMplement., with the agreement and the support of the contactor</w:t>
      </w:r>
    </w:p>
    <w:p>
      <w:pPr>
        <w:pStyle w:val="NoSpacing"/>
        <w:jc w:val="both"/>
        <w:rPr>
          <w:sz w:val="24"/>
          <w:szCs w:val="24"/>
          <w:lang w:val="en-US"/>
        </w:rPr>
      </w:pPr>
      <w:r>
        <w:rPr>
          <w:sz w:val="24"/>
          <w:szCs w:val="24"/>
          <w:lang w:val="en-US"/>
        </w:rPr>
      </w:r>
    </w:p>
    <w:p>
      <w:pPr>
        <w:pStyle w:val="NoSpacing"/>
        <w:jc w:val="both"/>
        <w:rPr>
          <w:b/>
          <w:b/>
          <w:sz w:val="28"/>
          <w:szCs w:val="28"/>
        </w:rPr>
      </w:pPr>
      <w:r>
        <w:rPr>
          <w:b/>
          <w:sz w:val="28"/>
          <w:szCs w:val="28"/>
        </w:rPr>
        <w:t>Tools</w:t>
      </w:r>
    </w:p>
    <w:p>
      <w:pPr>
        <w:pStyle w:val="NoSpacing"/>
        <w:numPr>
          <w:ilvl w:val="0"/>
          <w:numId w:val="8"/>
        </w:numPr>
        <w:jc w:val="both"/>
        <w:rPr>
          <w:b/>
          <w:b/>
          <w:sz w:val="24"/>
          <w:szCs w:val="24"/>
        </w:rPr>
      </w:pPr>
      <w:r>
        <w:rPr>
          <w:sz w:val="24"/>
          <w:szCs w:val="24"/>
        </w:rPr>
        <w:t>Power points</w:t>
      </w:r>
    </w:p>
    <w:p>
      <w:pPr>
        <w:pStyle w:val="NoSpacing"/>
        <w:numPr>
          <w:ilvl w:val="0"/>
          <w:numId w:val="8"/>
        </w:numPr>
        <w:jc w:val="both"/>
        <w:rPr>
          <w:b/>
          <w:b/>
          <w:sz w:val="28"/>
          <w:szCs w:val="28"/>
        </w:rPr>
      </w:pPr>
      <w:r>
        <w:rPr>
          <w:sz w:val="24"/>
          <w:szCs w:val="24"/>
        </w:rPr>
        <w:t>Brochures</w:t>
      </w:r>
    </w:p>
    <w:p>
      <w:pPr>
        <w:pStyle w:val="NoSpacing"/>
        <w:numPr>
          <w:ilvl w:val="0"/>
          <w:numId w:val="8"/>
        </w:numPr>
        <w:jc w:val="both"/>
        <w:rPr>
          <w:b/>
          <w:b/>
          <w:sz w:val="28"/>
          <w:szCs w:val="28"/>
        </w:rPr>
      </w:pPr>
      <w:r>
        <w:rPr>
          <w:sz w:val="24"/>
          <w:szCs w:val="24"/>
        </w:rPr>
        <w:t>BIMmockup with viewer</w:t>
      </w:r>
    </w:p>
    <w:p>
      <w:pPr>
        <w:pStyle w:val="NoSpacing"/>
        <w:numPr>
          <w:ilvl w:val="0"/>
          <w:numId w:val="8"/>
        </w:numPr>
        <w:jc w:val="both"/>
        <w:rPr>
          <w:b/>
          <w:b/>
          <w:sz w:val="28"/>
          <w:szCs w:val="28"/>
        </w:rPr>
      </w:pPr>
      <w:r>
        <w:rPr>
          <w:sz w:val="24"/>
          <w:szCs w:val="24"/>
        </w:rPr>
        <w:t>Witnesses</w:t>
      </w:r>
    </w:p>
    <w:p>
      <w:pPr>
        <w:pStyle w:val="Normal"/>
        <w:jc w:val="both"/>
        <w:rPr>
          <w:b/>
          <w:b/>
          <w:sz w:val="36"/>
          <w:szCs w:val="36"/>
        </w:rPr>
      </w:pPr>
      <w:r>
        <w:rPr>
          <w:b/>
          <w:sz w:val="36"/>
          <w:szCs w:val="36"/>
        </w:rPr>
      </w:r>
    </w:p>
    <w:p>
      <w:pPr>
        <w:pStyle w:val="Normal"/>
        <w:jc w:val="both"/>
        <w:rPr>
          <w:b/>
          <w:b/>
          <w:sz w:val="36"/>
          <w:szCs w:val="36"/>
        </w:rPr>
      </w:pPr>
      <w:r>
        <w:rPr>
          <w:b/>
          <w:sz w:val="36"/>
          <w:szCs w:val="36"/>
        </w:rPr>
      </w:r>
    </w:p>
    <w:p>
      <w:pPr>
        <w:pStyle w:val="Normal"/>
        <w:spacing w:before="0" w:after="200"/>
        <w:jc w:val="both"/>
        <w:rPr/>
      </w:pPr>
      <w:r>
        <w:rPr/>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lang w:val="en-US"/>
      </w:rPr>
    </w:pPr>
    <w:r>
      <w:rPr/>
      <w:drawing>
        <wp:inline distT="0" distB="6985" distL="0" distR="7620">
          <wp:extent cx="659765" cy="450215"/>
          <wp:effectExtent l="0" t="0" r="0" b="0"/>
          <wp:docPr id="2" name="Picture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001"/>
                  <pic:cNvPicPr>
                    <a:picLocks noChangeAspect="1" noChangeArrowheads="1"/>
                  </pic:cNvPicPr>
                </pic:nvPicPr>
                <pic:blipFill>
                  <a:blip r:embed="rId1"/>
                  <a:stretch>
                    <a:fillRect/>
                  </a:stretch>
                </pic:blipFill>
                <pic:spPr bwMode="auto">
                  <a:xfrm>
                    <a:off x="0" y="0"/>
                    <a:ext cx="659765" cy="450215"/>
                  </a:xfrm>
                  <a:prstGeom prst="rect">
                    <a:avLst/>
                  </a:prstGeom>
                </pic:spPr>
              </pic:pic>
            </a:graphicData>
          </a:graphic>
        </wp:inline>
      </w:drawing>
    </w:r>
  </w:p>
  <w:p>
    <w:pPr>
      <w:pStyle w:val="Pieddepage"/>
      <w:rPr>
        <w:i/>
        <w:i/>
        <w:lang w:val="en-US"/>
      </w:rPr>
    </w:pPr>
    <w:r>
      <w:rPr>
        <w:i/>
        <w:lang w:val="en-US"/>
      </w:rPr>
      <w:t>This project has received funding from the European Union’s H2020 framework programme for research and innovation under grant agreement no 745510.</w:t>
    </w:r>
  </w:p>
  <w:p>
    <w:pPr>
      <w:pStyle w:val="Pieddepage"/>
      <w:rPr>
        <w:i/>
        <w:i/>
        <w:lang w:val="en-US"/>
      </w:rPr>
    </w:pPr>
    <w:r>
      <w:rPr>
        <w:i/>
        <w:lang w:val="en-U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inline distT="0" distB="4445" distL="0" distR="3810">
          <wp:extent cx="1024890" cy="643255"/>
          <wp:effectExtent l="0" t="0" r="0" b="0"/>
          <wp:docPr id="1" name="Image 1" descr="cid:image001.jpg@01D054DC.DE9E02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id:image001.jpg@01D054DC.DE9E02A0"/>
                  <pic:cNvPicPr>
                    <a:picLocks noChangeAspect="1" noChangeArrowheads="1"/>
                  </pic:cNvPicPr>
                </pic:nvPicPr>
                <pic:blipFill>
                  <a:blip r:embed="rId1"/>
                  <a:stretch>
                    <a:fillRect/>
                  </a:stretch>
                </pic:blipFill>
                <pic:spPr bwMode="auto">
                  <a:xfrm>
                    <a:off x="0" y="0"/>
                    <a:ext cx="1024890" cy="64325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485" w:hanging="360"/>
      </w:pPr>
      <w:rPr>
        <w:rFonts w:ascii="Wingdings" w:hAnsi="Wingdings" w:cs="Wingdings" w:hint="default"/>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1080" w:hanging="360"/>
      </w:pPr>
      <w:rPr>
        <w:rFonts w:ascii="Calibri" w:hAnsi="Calibri" w:cs="Calibri" w:hint="default"/>
        <w:sz w:val="24"/>
        <w:rFonts w:cs="Calibri"/>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7">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95"/>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f3975"/>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link w:val="En-tte"/>
    <w:uiPriority w:val="99"/>
    <w:qFormat/>
    <w:rsid w:val="00210563"/>
    <w:rPr/>
  </w:style>
  <w:style w:type="character" w:styleId="PieddepageCar" w:customStyle="1">
    <w:name w:val="Pied de page Car"/>
    <w:basedOn w:val="DefaultParagraphFont"/>
    <w:link w:val="Pieddepage"/>
    <w:uiPriority w:val="99"/>
    <w:qFormat/>
    <w:rsid w:val="00210563"/>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eastAsia="Calibri" w:cs="Calibri"/>
      <w:sz w:val="24"/>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3f270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paragraph" w:styleId="Entte">
    <w:name w:val="Header"/>
    <w:basedOn w:val="Normal"/>
    <w:link w:val="En-tteCar"/>
    <w:uiPriority w:val="99"/>
    <w:unhideWhenUsed/>
    <w:rsid w:val="00210563"/>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210563"/>
    <w:pPr>
      <w:tabs>
        <w:tab w:val="center" w:pos="4536" w:leader="none"/>
        <w:tab w:val="right" w:pos="9072" w:leader="none"/>
      </w:tabs>
      <w:spacing w:lineRule="auto" w:line="240" w:before="0" w:after="0"/>
    </w:pPr>
    <w:rPr/>
  </w:style>
  <w:style w:type="paragraph" w:styleId="NormalWeb">
    <w:name w:val="Normal (Web)"/>
    <w:basedOn w:val="Normal"/>
    <w:uiPriority w:val="99"/>
    <w:semiHidden/>
    <w:unhideWhenUsed/>
    <w:qFormat/>
    <w:rsid w:val="00243489"/>
    <w:pPr>
      <w:spacing w:lineRule="auto" w:line="240" w:beforeAutospacing="1" w:afterAutospacing="1"/>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LibreOffice/5.4.6.2$Windows_X86_64 LibreOffice_project/4014ce260a04f1026ba855d3b8d91541c224eab8</Application>
  <Pages>2</Pages>
  <Words>476</Words>
  <Characters>2340</Characters>
  <CharactersWithSpaces>2757</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2017-11-10T15:28:00Z</dcterms:created>
  <dc:creator>Le marois</dc:creator>
  <dc:description/>
  <dc:language>fr-FR</dc:language>
  <cp:lastModifiedBy>Loeva Labye</cp:lastModifiedBy>
  <dcterms:modified xsi:type="dcterms:W3CDTF">2017-11-13T08:59:00Z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